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2415E402"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744EE" w:rsidRPr="00B744EE">
        <w:rPr>
          <w:rFonts w:ascii="Franklin Gothic Book" w:hAnsi="Franklin Gothic Book"/>
          <w:lang w:val="cs-CZ"/>
        </w:rPr>
        <w:t>doc. RNDr. Antonín Jančařík, Ph.D.</w:t>
      </w:r>
      <w:r w:rsidR="00203E65" w:rsidRPr="00F604F7">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2DDBB6FA"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651A77">
        <w:rPr>
          <w:rFonts w:ascii="Franklin Gothic Book" w:eastAsia="Times New Roman" w:hAnsi="Franklin Gothic Book" w:cstheme="minorHAnsi"/>
          <w:sz w:val="22"/>
          <w:szCs w:val="22"/>
          <w:lang w:val="cs-CZ" w:eastAsia="ar-SA"/>
        </w:rPr>
        <w:t>2</w:t>
      </w:r>
      <w:r w:rsidR="00C81731" w:rsidRPr="00C8053A">
        <w:rPr>
          <w:rFonts w:ascii="Franklin Gothic Book" w:eastAsia="Times New Roman" w:hAnsi="Franklin Gothic Book" w:cstheme="minorHAnsi"/>
          <w:sz w:val="22"/>
          <w:szCs w:val="22"/>
          <w:lang w:val="cs-CZ" w:eastAsia="ar-SA"/>
        </w:rPr>
        <w:t xml:space="preserve"> kusů</w:t>
      </w:r>
      <w:r w:rsidR="0070471E">
        <w:rPr>
          <w:rFonts w:ascii="Franklin Gothic Book" w:eastAsia="Times New Roman" w:hAnsi="Franklin Gothic Book" w:cstheme="minorHAnsi"/>
          <w:sz w:val="22"/>
          <w:szCs w:val="22"/>
          <w:lang w:val="cs-CZ" w:eastAsia="ar-SA"/>
        </w:rPr>
        <w:t xml:space="preserve"> </w:t>
      </w:r>
      <w:r w:rsidR="00F736A1">
        <w:rPr>
          <w:rFonts w:ascii="Franklin Gothic Book" w:eastAsia="Times New Roman" w:hAnsi="Franklin Gothic Book" w:cstheme="minorHAnsi"/>
          <w:sz w:val="22"/>
          <w:szCs w:val="22"/>
          <w:lang w:val="cs-CZ" w:eastAsia="ar-SA"/>
        </w:rPr>
        <w:t>tiskáren</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C056D1" w:rsidRPr="00C056D1">
        <w:rPr>
          <w:rFonts w:ascii="Franklin Gothic Book" w:hAnsi="Franklin Gothic Book"/>
          <w:sz w:val="22"/>
          <w:szCs w:val="22"/>
          <w:lang w:val="cs-CZ"/>
        </w:rPr>
        <w:t>PedF – Dynamický nákupní systém pro nákup standardní ICT techniky v období roku 2022 a 2023</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7ACB7890"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7317F935"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F736A1">
        <w:rPr>
          <w:rFonts w:ascii="Franklin Gothic Book" w:hAnsi="Franklin Gothic Book"/>
          <w:b/>
          <w:bCs/>
          <w:sz w:val="22"/>
          <w:szCs w:val="22"/>
          <w:lang w:val="cs-CZ"/>
        </w:rPr>
        <w:t xml:space="preserve">PedF – DNS </w:t>
      </w:r>
      <w:r w:rsidR="00651A77">
        <w:rPr>
          <w:rFonts w:ascii="Franklin Gothic Book" w:hAnsi="Franklin Gothic Book"/>
          <w:b/>
          <w:bCs/>
          <w:sz w:val="22"/>
          <w:szCs w:val="22"/>
          <w:lang w:val="cs-CZ"/>
        </w:rPr>
        <w:t>10</w:t>
      </w:r>
      <w:r w:rsidR="0070471E" w:rsidRPr="0070471E">
        <w:rPr>
          <w:rFonts w:ascii="Franklin Gothic Book" w:hAnsi="Franklin Gothic Book"/>
          <w:b/>
          <w:bCs/>
          <w:sz w:val="22"/>
          <w:szCs w:val="22"/>
          <w:lang w:val="cs-CZ"/>
        </w:rPr>
        <w:t xml:space="preserve"> - Pořízení </w:t>
      </w:r>
      <w:r w:rsidR="00C056D1">
        <w:rPr>
          <w:rFonts w:ascii="Franklin Gothic Book" w:hAnsi="Franklin Gothic Book"/>
          <w:b/>
          <w:bCs/>
          <w:sz w:val="22"/>
          <w:szCs w:val="22"/>
          <w:lang w:val="cs-CZ"/>
        </w:rPr>
        <w:t xml:space="preserve">multifunkčních </w:t>
      </w:r>
      <w:r w:rsidR="00F736A1">
        <w:rPr>
          <w:rFonts w:ascii="Franklin Gothic Book" w:hAnsi="Franklin Gothic Book"/>
          <w:b/>
          <w:bCs/>
          <w:sz w:val="22"/>
          <w:szCs w:val="22"/>
          <w:lang w:val="cs-CZ"/>
        </w:rPr>
        <w:t>tiskáren</w:t>
      </w:r>
      <w:r w:rsidR="00651A77">
        <w:rPr>
          <w:rFonts w:ascii="Franklin Gothic Book" w:hAnsi="Franklin Gothic Book"/>
          <w:b/>
          <w:bCs/>
          <w:sz w:val="22"/>
          <w:szCs w:val="22"/>
          <w:lang w:val="cs-CZ"/>
        </w:rPr>
        <w:t xml:space="preserve"> 3</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651A77" w:rsidRPr="00651A77">
        <w:rPr>
          <w:rFonts w:ascii="Franklin Gothic Book" w:hAnsi="Franklin Gothic Book"/>
          <w:b/>
          <w:bCs/>
          <w:sz w:val="22"/>
          <w:szCs w:val="22"/>
          <w:lang w:val="cs-CZ"/>
        </w:rPr>
        <w:t>UKPedF</w:t>
      </w:r>
      <w:proofErr w:type="spellEnd"/>
      <w:r w:rsidR="00651A77" w:rsidRPr="00651A77">
        <w:rPr>
          <w:rFonts w:ascii="Franklin Gothic Book" w:hAnsi="Franklin Gothic Book"/>
          <w:b/>
          <w:bCs/>
          <w:sz w:val="22"/>
          <w:szCs w:val="22"/>
          <w:lang w:val="cs-CZ"/>
        </w:rPr>
        <w:t>/178396/2025</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1ED22FE" w:rsidR="00E5013D"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0179B6">
        <w:rPr>
          <w:rFonts w:ascii="Franklin Gothic Book" w:hAnsi="Franklin Gothic Book"/>
          <w:sz w:val="22"/>
          <w:szCs w:val="22"/>
        </w:rPr>
        <w:t xml:space="preserve">do 14 </w:t>
      </w:r>
      <w:proofErr w:type="spellStart"/>
      <w:r w:rsidRPr="000179B6">
        <w:rPr>
          <w:rFonts w:ascii="Franklin Gothic Book" w:hAnsi="Franklin Gothic Book"/>
          <w:sz w:val="22"/>
          <w:szCs w:val="22"/>
        </w:rPr>
        <w:t>kalendářních</w:t>
      </w:r>
      <w:proofErr w:type="spellEnd"/>
      <w:r w:rsidRPr="000179B6">
        <w:rPr>
          <w:rFonts w:ascii="Franklin Gothic Book" w:hAnsi="Franklin Gothic Book"/>
          <w:sz w:val="22"/>
          <w:szCs w:val="22"/>
        </w:rPr>
        <w:t xml:space="preserve"> </w:t>
      </w:r>
      <w:proofErr w:type="spellStart"/>
      <w:r w:rsidRPr="000179B6">
        <w:rPr>
          <w:rFonts w:ascii="Franklin Gothic Book" w:hAnsi="Franklin Gothic Book"/>
          <w:sz w:val="22"/>
          <w:szCs w:val="22"/>
        </w:rPr>
        <w:t>dnů</w:t>
      </w:r>
      <w:proofErr w:type="spellEnd"/>
      <w:r w:rsidRPr="000179B6">
        <w:rPr>
          <w:rFonts w:ascii="Franklin Gothic Book" w:hAnsi="Franklin Gothic Book"/>
          <w:sz w:val="22"/>
          <w:szCs w:val="22"/>
        </w:rPr>
        <w:t xml:space="preserve"> od </w:t>
      </w:r>
      <w:proofErr w:type="spellStart"/>
      <w:r w:rsidRPr="000179B6">
        <w:rPr>
          <w:rFonts w:ascii="Franklin Gothic Book" w:hAnsi="Franklin Gothic Book"/>
          <w:sz w:val="22"/>
          <w:szCs w:val="22"/>
        </w:rPr>
        <w:t>nahlášení</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1"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031EA9C6" w:rsidR="002B6B99"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206A71D8" w14:textId="77777777" w:rsidR="00651A77" w:rsidRPr="00651A77" w:rsidRDefault="00651A77" w:rsidP="008D6642">
      <w:pPr>
        <w:numPr>
          <w:ilvl w:val="0"/>
          <w:numId w:val="21"/>
        </w:numPr>
        <w:spacing w:after="80"/>
        <w:ind w:left="425" w:hanging="426"/>
        <w:jc w:val="both"/>
        <w:rPr>
          <w:rFonts w:ascii="Franklin Gothic Book" w:hAnsi="Franklin Gothic Book"/>
          <w:sz w:val="22"/>
          <w:szCs w:val="22"/>
          <w:lang w:val="cs-CZ"/>
        </w:rPr>
      </w:pPr>
      <w:r w:rsidRPr="00651A77">
        <w:rPr>
          <w:rFonts w:ascii="Franklin Gothic Book" w:hAnsi="Franklin Gothic Book"/>
          <w:sz w:val="22"/>
          <w:szCs w:val="22"/>
          <w:lang w:val="cs-CZ"/>
        </w:rPr>
        <w:t>Zadavatel má zájem zadat veřejnou zakázku v souladu se zásadami společensky odpovědného zadávání veřejných zakázek. Odpovědné veřejné zadávání je proces, při kterém zadavatel nakupuje produkty, služby a stavební práce, které potřebuje, přičemž získává maximální hodnotu za peníze vytvářením prospěchu pro společnost a ekonomiku a minimalizací negativních dopadů na životní prostředí.</w:t>
      </w:r>
    </w:p>
    <w:p w14:paraId="2E9E3773" w14:textId="77777777" w:rsidR="00651A77" w:rsidRPr="00651A77" w:rsidRDefault="00651A77" w:rsidP="008D6642">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 xml:space="preserve">Zadavatel v rámci plnění této veřejné zakázky od uchazeče vyžaduje, aby při plnění předmětu plnění veřejné zakázky zajistil legální zaměstnávání, důstojné pracovní podmínky </w:t>
      </w:r>
    </w:p>
    <w:p w14:paraId="06C1F14D" w14:textId="77777777" w:rsidR="00651A77" w:rsidRPr="00651A77" w:rsidRDefault="00651A77" w:rsidP="008D6642">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 xml:space="preserve">a odpovídající úroveň bezpečnosti práce pro všechny osoby, které se na plnění veřejné zakázky budou podílet. </w:t>
      </w:r>
    </w:p>
    <w:p w14:paraId="5952C521" w14:textId="77777777" w:rsidR="00651A77" w:rsidRPr="00651A77" w:rsidRDefault="00651A77" w:rsidP="008D6642">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Zadavatel požaduje dodržování pravidel uvedených v Úmluvách Mezinárodní organizace práce a veškerých pracovně-právních předpisů platných v České republice, které vnímá jako součást důstojných pracovních podmínek, zejména:</w:t>
      </w:r>
    </w:p>
    <w:p w14:paraId="576158A1"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a) zákaz nucené a dětské práce,</w:t>
      </w:r>
    </w:p>
    <w:p w14:paraId="4C9209EE"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b) svoboda sdružování,</w:t>
      </w:r>
    </w:p>
    <w:p w14:paraId="1993C974"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c) zákaz diskriminace na pracovišti,</w:t>
      </w:r>
    </w:p>
    <w:p w14:paraId="55A42063"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d) rovné podmínky pro obě pohlaví,</w:t>
      </w:r>
    </w:p>
    <w:p w14:paraId="147B471D"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e) dodržování zákonem stanovené pracovní doby a</w:t>
      </w:r>
    </w:p>
    <w:p w14:paraId="5863F282"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f) mzda odpovídající odvedené práci,</w:t>
      </w:r>
    </w:p>
    <w:p w14:paraId="0D5B504D"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g) dodržování všech pracovněprávních a jiných relevantních předpisů.</w:t>
      </w:r>
    </w:p>
    <w:p w14:paraId="0324631B"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Zadavatel je oprávněn po vybraném uchazeči požadovat oznámení v případě jakýchkoli pochybností o dodržování důstojných pracovních podmínek, zejména:</w:t>
      </w:r>
    </w:p>
    <w:p w14:paraId="25FAC113"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 xml:space="preserve">a) požadovat na vybraném uchazeči zprávy o dodržování důstojných pracovních podmínek </w:t>
      </w:r>
    </w:p>
    <w:p w14:paraId="1FCDCD93" w14:textId="77777777" w:rsidR="00651A77" w:rsidRPr="00651A77" w:rsidRDefault="00651A77" w:rsidP="00DC7CF5">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u vybraného uchazeče a v jeho dodavatelském řetězci,</w:t>
      </w:r>
    </w:p>
    <w:p w14:paraId="35543873" w14:textId="77777777" w:rsidR="00651A77" w:rsidRPr="00651A77" w:rsidRDefault="00651A77" w:rsidP="00DC7CF5">
      <w:pPr>
        <w:spacing w:after="120"/>
        <w:ind w:left="426"/>
        <w:jc w:val="both"/>
        <w:rPr>
          <w:rFonts w:ascii="Franklin Gothic Book" w:hAnsi="Franklin Gothic Book"/>
          <w:sz w:val="22"/>
          <w:szCs w:val="22"/>
          <w:lang w:val="cs-CZ"/>
        </w:rPr>
      </w:pPr>
      <w:r w:rsidRPr="00651A77">
        <w:rPr>
          <w:rFonts w:ascii="Franklin Gothic Book" w:hAnsi="Franklin Gothic Book"/>
          <w:sz w:val="22"/>
          <w:szCs w:val="22"/>
          <w:lang w:val="cs-CZ"/>
        </w:rPr>
        <w:t>b) ukončit smlouvu s vybraným uchazečem, pokud se ukáže, že tento nebo kterýkoliv z jeho poddodavatelů nebo jiných participantů na jeho dodavatelském řetězci důstojné pracovní podmínky porušil</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xml:space="preserve">. § 2 a zákona č. 340/2015, o zvláštních podmínkách účinnosti některých smluv, uveřejňování těchto smluv a o registru smluv (zákon o registru smluv), je kupující povinen zveřejnit celou smlouvu </w:t>
      </w:r>
      <w:r w:rsidRPr="00E6060A">
        <w:rPr>
          <w:rFonts w:ascii="Franklin Gothic Book" w:hAnsi="Franklin Gothic Book"/>
          <w:sz w:val="22"/>
          <w:szCs w:val="22"/>
          <w:lang w:val="cs-CZ"/>
        </w:rPr>
        <w:lastRenderedPageBreak/>
        <w:t>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104ACC4C"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00A11297">
        <w:rPr>
          <w:rFonts w:ascii="Franklin Gothic Book" w:hAnsi="Franklin Gothic Book"/>
          <w:sz w:val="22"/>
          <w:szCs w:val="22"/>
          <w:lang w:val="cs-CZ"/>
        </w:rPr>
        <w:t>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________________________</w:t>
      </w:r>
      <w:r w:rsidR="00A11297">
        <w:rPr>
          <w:rFonts w:ascii="Franklin Gothic Book" w:hAnsi="Franklin Gothic Book"/>
          <w:sz w:val="22"/>
          <w:szCs w:val="22"/>
          <w:lang w:val="cs-CZ"/>
        </w:rPr>
        <w:t>______</w:t>
      </w:r>
    </w:p>
    <w:p w14:paraId="2E22D7CF" w14:textId="77777777" w:rsidR="002B6B99" w:rsidRPr="00E6060A" w:rsidRDefault="002B6B99" w:rsidP="00A11297">
      <w:pPr>
        <w:ind w:firstLine="708"/>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4C42F53C" w:rsidR="002B6B99" w:rsidRPr="00E6060A" w:rsidRDefault="00A11297" w:rsidP="00A11297">
      <w:pPr>
        <w:jc w:val="both"/>
        <w:rPr>
          <w:rFonts w:ascii="Franklin Gothic Book" w:hAnsi="Franklin Gothic Book"/>
          <w:b/>
          <w:sz w:val="22"/>
          <w:szCs w:val="22"/>
          <w:lang w:val="cs-CZ"/>
        </w:rPr>
      </w:pPr>
      <w:r>
        <w:rPr>
          <w:rFonts w:ascii="Franklin Gothic Book" w:hAnsi="Franklin Gothic Book"/>
          <w:b/>
          <w:sz w:val="22"/>
          <w:szCs w:val="22"/>
          <w:lang w:val="cs-CZ"/>
        </w:rPr>
        <w:t xml:space="preserve">           </w:t>
      </w:r>
      <w:r w:rsidR="002B6B99"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4A680D">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91848" w14:textId="77777777" w:rsidR="00A0412C" w:rsidRDefault="00A0412C" w:rsidP="00D63A83">
      <w:r>
        <w:separator/>
      </w:r>
    </w:p>
  </w:endnote>
  <w:endnote w:type="continuationSeparator" w:id="0">
    <w:p w14:paraId="0D2F44F3" w14:textId="77777777" w:rsidR="00A0412C" w:rsidRDefault="00A0412C"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45ABFF28"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A4110">
      <w:rPr>
        <w:rFonts w:ascii="Franklin Gothic Book" w:hAnsi="Franklin Gothic Book"/>
        <w:sz w:val="16"/>
        <w:szCs w:val="16"/>
        <w:lang w:val="cs-CZ"/>
      </w:rPr>
      <w:t xml:space="preserve"> DNS_</w:t>
    </w:r>
    <w:r w:rsidR="00651A77">
      <w:rPr>
        <w:rFonts w:ascii="Franklin Gothic Book" w:hAnsi="Franklin Gothic Book"/>
        <w:sz w:val="16"/>
        <w:szCs w:val="16"/>
        <w:lang w:val="cs-CZ"/>
      </w:rPr>
      <w:t>10</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191C9C">
      <w:rPr>
        <w:rStyle w:val="slostrnky"/>
        <w:rFonts w:ascii="Franklin Gothic Book" w:hAnsi="Franklin Gothic Book"/>
        <w:noProof/>
        <w:sz w:val="16"/>
        <w:szCs w:val="16"/>
        <w:lang w:val="cs-CZ"/>
      </w:rPr>
      <w:t>4</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191C9C">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3CB6A" w14:textId="77777777" w:rsidR="00A0412C" w:rsidRDefault="00A0412C" w:rsidP="00D63A83">
      <w:r>
        <w:separator/>
      </w:r>
    </w:p>
  </w:footnote>
  <w:footnote w:type="continuationSeparator" w:id="0">
    <w:p w14:paraId="0428E255" w14:textId="77777777" w:rsidR="00A0412C" w:rsidRDefault="00A0412C"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3BB9963D"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651A77" w:rsidRPr="00651A77">
      <w:rPr>
        <w:rFonts w:ascii="Franklin Gothic Book" w:hAnsi="Franklin Gothic Book"/>
        <w:bCs/>
        <w:sz w:val="20"/>
        <w:szCs w:val="20"/>
        <w:lang w:val="cs-CZ"/>
      </w:rPr>
      <w:t>UKPedF</w:t>
    </w:r>
    <w:proofErr w:type="spellEnd"/>
    <w:r w:rsidR="00651A77" w:rsidRPr="00651A77">
      <w:rPr>
        <w:rFonts w:ascii="Franklin Gothic Book" w:hAnsi="Franklin Gothic Book"/>
        <w:bCs/>
        <w:sz w:val="20"/>
        <w:szCs w:val="20"/>
        <w:lang w:val="cs-CZ"/>
      </w:rPr>
      <w:t>/178396/2025</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179B6"/>
    <w:rsid w:val="00025E8F"/>
    <w:rsid w:val="00026CAF"/>
    <w:rsid w:val="00027C52"/>
    <w:rsid w:val="0005099C"/>
    <w:rsid w:val="000A0F91"/>
    <w:rsid w:val="000D5C55"/>
    <w:rsid w:val="0010607A"/>
    <w:rsid w:val="00130600"/>
    <w:rsid w:val="00147B72"/>
    <w:rsid w:val="00156BC2"/>
    <w:rsid w:val="00173DC6"/>
    <w:rsid w:val="00177BD0"/>
    <w:rsid w:val="00191C9C"/>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81D8B"/>
    <w:rsid w:val="00292485"/>
    <w:rsid w:val="00292DD4"/>
    <w:rsid w:val="002B2472"/>
    <w:rsid w:val="002B5D41"/>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A680D"/>
    <w:rsid w:val="004B03B0"/>
    <w:rsid w:val="004B6F19"/>
    <w:rsid w:val="004C379F"/>
    <w:rsid w:val="004D47E0"/>
    <w:rsid w:val="004E5981"/>
    <w:rsid w:val="004F0379"/>
    <w:rsid w:val="00505E31"/>
    <w:rsid w:val="00514073"/>
    <w:rsid w:val="005808B5"/>
    <w:rsid w:val="005912F3"/>
    <w:rsid w:val="00594D23"/>
    <w:rsid w:val="005A3C58"/>
    <w:rsid w:val="005E0D5F"/>
    <w:rsid w:val="005F216B"/>
    <w:rsid w:val="006026DC"/>
    <w:rsid w:val="006369D1"/>
    <w:rsid w:val="00650A68"/>
    <w:rsid w:val="00651A77"/>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6375D"/>
    <w:rsid w:val="008735E7"/>
    <w:rsid w:val="00893AE3"/>
    <w:rsid w:val="008A4110"/>
    <w:rsid w:val="008D6642"/>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0412C"/>
    <w:rsid w:val="00A11297"/>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132AE"/>
    <w:rsid w:val="00B61F94"/>
    <w:rsid w:val="00B744EE"/>
    <w:rsid w:val="00B804ED"/>
    <w:rsid w:val="00B85892"/>
    <w:rsid w:val="00BD5AD2"/>
    <w:rsid w:val="00BE2AD7"/>
    <w:rsid w:val="00C029CA"/>
    <w:rsid w:val="00C056D1"/>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DC7CF5"/>
    <w:rsid w:val="00E049AC"/>
    <w:rsid w:val="00E1075D"/>
    <w:rsid w:val="00E262E6"/>
    <w:rsid w:val="00E273D5"/>
    <w:rsid w:val="00E27AFB"/>
    <w:rsid w:val="00E44FDC"/>
    <w:rsid w:val="00E5013D"/>
    <w:rsid w:val="00E6060A"/>
    <w:rsid w:val="00E67DAA"/>
    <w:rsid w:val="00E82B4D"/>
    <w:rsid w:val="00EB45C5"/>
    <w:rsid w:val="00EF3D6F"/>
    <w:rsid w:val="00EF4A60"/>
    <w:rsid w:val="00F02D3B"/>
    <w:rsid w:val="00F109C7"/>
    <w:rsid w:val="00F111BF"/>
    <w:rsid w:val="00F31E3E"/>
    <w:rsid w:val="00F33CB1"/>
    <w:rsid w:val="00F563CA"/>
    <w:rsid w:val="00F604F7"/>
    <w:rsid w:val="00F665BC"/>
    <w:rsid w:val="00F736A1"/>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veverk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20C54BBD-0D59-4CBF-A9F0-21E6029E592A}">
  <ds:schemaRefs>
    <ds:schemaRef ds:uri="http://schemas.openxmlformats.org/officeDocument/2006/bibliography"/>
  </ds:schemaRefs>
</ds:datastoreItem>
</file>

<file path=customXml/itemProps4.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2860</Words>
  <Characters>16880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32</cp:revision>
  <cp:lastPrinted>2024-05-13T12:19:00Z</cp:lastPrinted>
  <dcterms:created xsi:type="dcterms:W3CDTF">2021-03-26T10:15:00Z</dcterms:created>
  <dcterms:modified xsi:type="dcterms:W3CDTF">2025-03-31T08:56:00Z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